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52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50"/>
        <w:gridCol w:w="6378"/>
      </w:tblGrid>
      <w:tr w:rsidR="008B0079" w:rsidRPr="00936CC7" w:rsidTr="0068503C">
        <w:trPr>
          <w:trHeight w:val="24"/>
        </w:trPr>
        <w:tc>
          <w:tcPr>
            <w:tcW w:w="952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0079" w:rsidRPr="00936CC7" w:rsidRDefault="008B0079" w:rsidP="0068503C">
            <w:pPr>
              <w:pStyle w:val="Stiletabella2"/>
              <w:jc w:val="center"/>
              <w:rPr>
                <w:rFonts w:ascii="Avenir Roman" w:hAnsi="Avenir Roman"/>
                <w:b/>
                <w:sz w:val="18"/>
                <w:szCs w:val="18"/>
              </w:rPr>
            </w:pPr>
            <w:r w:rsidRPr="00936CC7">
              <w:rPr>
                <w:rFonts w:ascii="Avenir Roman" w:hAnsi="Avenir Roman"/>
                <w:b/>
                <w:sz w:val="18"/>
                <w:szCs w:val="18"/>
              </w:rPr>
              <w:t xml:space="preserve">Informativa </w:t>
            </w:r>
            <w:r w:rsidR="00D2651A">
              <w:rPr>
                <w:rFonts w:ascii="Avenir Roman" w:hAnsi="Avenir Roman"/>
                <w:b/>
                <w:sz w:val="18"/>
                <w:szCs w:val="18"/>
              </w:rPr>
              <w:t>sul trattamento dei suoi dati personali -</w:t>
            </w:r>
            <w:r>
              <w:rPr>
                <w:rFonts w:ascii="Avenir Roman" w:hAnsi="Avenir Roman"/>
                <w:b/>
                <w:sz w:val="18"/>
                <w:szCs w:val="18"/>
              </w:rPr>
              <w:t xml:space="preserve"> fornitori</w:t>
            </w:r>
          </w:p>
        </w:tc>
      </w:tr>
      <w:tr w:rsidR="00333696" w:rsidRPr="00C34AE6" w:rsidTr="008B0079">
        <w:tblPrEx>
          <w:tblBorders>
            <w:insideV w:val="single" w:sz="4" w:space="0" w:color="000000"/>
          </w:tblBorders>
        </w:tblPrEx>
        <w:trPr>
          <w:trHeight w:val="22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3696" w:rsidRPr="008B0079" w:rsidRDefault="00F46157" w:rsidP="008B0079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 w:rsidRPr="008B0079">
              <w:rPr>
                <w:rFonts w:ascii="Avenir Roman" w:hAnsi="Avenir Roman"/>
                <w:b/>
                <w:sz w:val="18"/>
                <w:szCs w:val="18"/>
              </w:rPr>
              <w:t>Titolare dei trattamenti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3696" w:rsidRDefault="008B0079" w:rsidP="008B0079">
            <w:pPr>
              <w:pStyle w:val="Stiletabella2"/>
              <w:jc w:val="both"/>
            </w:pPr>
            <w:r w:rsidRPr="004E12CE">
              <w:rPr>
                <w:rFonts w:ascii="Avenir Roman" w:hAnsi="Avenir Roman"/>
                <w:sz w:val="14"/>
                <w:szCs w:val="14"/>
              </w:rPr>
              <w:t xml:space="preserve">Il </w:t>
            </w:r>
            <w:r w:rsidR="00CD2158">
              <w:rPr>
                <w:rFonts w:ascii="Avenir Roman" w:hAnsi="Avenir Roman"/>
                <w:sz w:val="14"/>
                <w:szCs w:val="14"/>
              </w:rPr>
              <w:t>Ti</w:t>
            </w:r>
            <w:r w:rsidRPr="004E12CE">
              <w:rPr>
                <w:rFonts w:ascii="Avenir Roman" w:hAnsi="Avenir Roman"/>
                <w:sz w:val="14"/>
                <w:szCs w:val="14"/>
              </w:rPr>
              <w:t xml:space="preserve">tolare del </w:t>
            </w:r>
            <w:r w:rsidRPr="009802B7">
              <w:rPr>
                <w:sz w:val="14"/>
                <w:szCs w:val="14"/>
              </w:rPr>
              <w:t xml:space="preserve">trattamento è </w:t>
            </w:r>
            <w:r w:rsidR="009802B7" w:rsidRPr="009802B7">
              <w:rPr>
                <w:sz w:val="14"/>
                <w:szCs w:val="14"/>
              </w:rPr>
              <w:t xml:space="preserve">Nuovo Style S.n.c., con sede legale in Bolzano, via San </w:t>
            </w:r>
            <w:proofErr w:type="spellStart"/>
            <w:r w:rsidR="009802B7" w:rsidRPr="009802B7">
              <w:rPr>
                <w:sz w:val="14"/>
                <w:szCs w:val="14"/>
              </w:rPr>
              <w:t>Vigilio</w:t>
            </w:r>
            <w:proofErr w:type="spellEnd"/>
            <w:r w:rsidR="009802B7" w:rsidRPr="009802B7">
              <w:rPr>
                <w:sz w:val="14"/>
                <w:szCs w:val="14"/>
              </w:rPr>
              <w:t xml:space="preserve"> 41.</w:t>
            </w:r>
          </w:p>
        </w:tc>
      </w:tr>
      <w:tr w:rsidR="00333696" w:rsidRPr="00C34AE6" w:rsidTr="008B0079">
        <w:tblPrEx>
          <w:tblBorders>
            <w:insideV w:val="single" w:sz="4" w:space="0" w:color="000000"/>
          </w:tblBorders>
        </w:tblPrEx>
        <w:trPr>
          <w:trHeight w:val="18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3696" w:rsidRPr="008B0079" w:rsidRDefault="00F46157" w:rsidP="008B0079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 w:rsidRPr="008B0079">
              <w:rPr>
                <w:rFonts w:ascii="Avenir Roman" w:hAnsi="Avenir Roman"/>
                <w:b/>
                <w:sz w:val="18"/>
                <w:szCs w:val="18"/>
              </w:rPr>
              <w:t xml:space="preserve">Finalità </w:t>
            </w:r>
            <w:r w:rsidR="00831170">
              <w:rPr>
                <w:rFonts w:ascii="Avenir Roman" w:hAnsi="Avenir Roman"/>
                <w:b/>
                <w:sz w:val="18"/>
                <w:szCs w:val="18"/>
              </w:rPr>
              <w:t>del trattamento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3696" w:rsidRPr="008B0079" w:rsidRDefault="00066A68" w:rsidP="008B0079">
            <w:pPr>
              <w:pStyle w:val="Stiletabella2"/>
              <w:jc w:val="both"/>
              <w:rPr>
                <w:rFonts w:ascii="Avenir Roman" w:hAnsi="Avenir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Il trattamento è effettuato al fine di consentire l’adempimento delle obbligazioni reciprocamente sottoscritte</w:t>
            </w:r>
          </w:p>
        </w:tc>
      </w:tr>
      <w:tr w:rsidR="00831170" w:rsidRPr="00C34AE6" w:rsidTr="008B0079">
        <w:tblPrEx>
          <w:tblBorders>
            <w:insideV w:val="single" w:sz="4" w:space="0" w:color="000000"/>
          </w:tblBorders>
        </w:tblPrEx>
        <w:trPr>
          <w:trHeight w:val="18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1170" w:rsidRPr="008B0079" w:rsidRDefault="00831170" w:rsidP="008B0079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>
              <w:rPr>
                <w:rFonts w:ascii="Avenir Roman" w:hAnsi="Avenir Roman"/>
                <w:b/>
                <w:sz w:val="18"/>
                <w:szCs w:val="18"/>
              </w:rPr>
              <w:t>Base giuridica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170" w:rsidRDefault="00066A68" w:rsidP="008B0079">
            <w:pPr>
              <w:pStyle w:val="Stiletabella2"/>
              <w:jc w:val="both"/>
              <w:rPr>
                <w:rFonts w:ascii="Avenir Roman" w:hAnsi="Avenir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CF0DBD" w:rsidRPr="00EA2A36">
              <w:rPr>
                <w:sz w:val="14"/>
                <w:szCs w:val="14"/>
              </w:rPr>
              <w:t>l contratto e l’adempimento delle obbligazioni</w:t>
            </w:r>
            <w:r>
              <w:rPr>
                <w:sz w:val="14"/>
                <w:szCs w:val="14"/>
              </w:rPr>
              <w:t xml:space="preserve"> sono la base giuridica del trattamento</w:t>
            </w:r>
          </w:p>
        </w:tc>
      </w:tr>
      <w:tr w:rsidR="00066A68" w:rsidRPr="00C34AE6" w:rsidTr="008B0079">
        <w:tblPrEx>
          <w:tblBorders>
            <w:insideV w:val="single" w:sz="4" w:space="0" w:color="000000"/>
          </w:tblBorders>
        </w:tblPrEx>
        <w:trPr>
          <w:trHeight w:val="18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A68" w:rsidRPr="008B0079" w:rsidRDefault="00066A68" w:rsidP="00066A68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 w:rsidRPr="008B0079">
              <w:rPr>
                <w:rFonts w:ascii="Avenir Roman" w:hAnsi="Avenir Roman"/>
                <w:b/>
                <w:sz w:val="18"/>
                <w:szCs w:val="18"/>
              </w:rPr>
              <w:t>Conseguenze in caso di rifiuto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A68" w:rsidRPr="008B0079" w:rsidRDefault="00CD2158" w:rsidP="00066A68">
            <w:pPr>
              <w:pStyle w:val="Stiletabella2"/>
              <w:jc w:val="both"/>
              <w:rPr>
                <w:rFonts w:ascii="Avenir Roman" w:hAnsi="Avenir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Il mancato conferimento dei dati personali comporterà l’impossibilità per il </w:t>
            </w:r>
            <w:r w:rsidRPr="00CD2158">
              <w:rPr>
                <w:sz w:val="14"/>
                <w:szCs w:val="14"/>
              </w:rPr>
              <w:t>Titolare</w:t>
            </w:r>
            <w:r>
              <w:rPr>
                <w:sz w:val="14"/>
                <w:szCs w:val="14"/>
              </w:rPr>
              <w:t xml:space="preserve"> di dare esecuzione al rapporto in oggetto.</w:t>
            </w:r>
          </w:p>
        </w:tc>
      </w:tr>
      <w:tr w:rsidR="00066A68" w:rsidRPr="00C34AE6" w:rsidTr="008B0079">
        <w:tblPrEx>
          <w:tblBorders>
            <w:insideV w:val="single" w:sz="4" w:space="0" w:color="000000"/>
          </w:tblBorders>
        </w:tblPrEx>
        <w:trPr>
          <w:trHeight w:val="18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A68" w:rsidRPr="008B0079" w:rsidRDefault="00066A68" w:rsidP="00066A68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>
              <w:rPr>
                <w:rFonts w:ascii="Avenir Roman" w:hAnsi="Avenir Roman"/>
                <w:b/>
                <w:sz w:val="18"/>
                <w:szCs w:val="18"/>
              </w:rPr>
              <w:t>Legittimo interesse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A68" w:rsidRDefault="00066A68" w:rsidP="00066A68">
            <w:pPr>
              <w:pStyle w:val="Stiletabella2"/>
              <w:jc w:val="both"/>
              <w:rPr>
                <w:rFonts w:ascii="Avenir Roman" w:hAnsi="Avenir Roman"/>
                <w:sz w:val="14"/>
                <w:szCs w:val="14"/>
              </w:rPr>
            </w:pPr>
            <w:r w:rsidRPr="00EA2A36">
              <w:rPr>
                <w:sz w:val="14"/>
                <w:szCs w:val="14"/>
              </w:rPr>
              <w:t xml:space="preserve">Il </w:t>
            </w:r>
            <w:r w:rsidR="00CD2158" w:rsidRPr="00CD2158">
              <w:rPr>
                <w:sz w:val="14"/>
                <w:szCs w:val="14"/>
              </w:rPr>
              <w:t>Titolare</w:t>
            </w:r>
            <w:r w:rsidRPr="00EA2A36">
              <w:rPr>
                <w:sz w:val="14"/>
                <w:szCs w:val="14"/>
              </w:rPr>
              <w:t xml:space="preserve"> effettuerà anche operazioni di trattamento perseguendo propri legittimi interessi</w:t>
            </w:r>
            <w:r w:rsidR="00CD2158">
              <w:rPr>
                <w:sz w:val="14"/>
                <w:szCs w:val="14"/>
              </w:rPr>
              <w:t>,</w:t>
            </w:r>
            <w:r w:rsidRPr="00EA2A36">
              <w:rPr>
                <w:sz w:val="14"/>
                <w:szCs w:val="14"/>
              </w:rPr>
              <w:t xml:space="preserve"> come ad esempio, la verifica dell’andamento storico delle forniture ordinate, il raffronto di prezzi e qualità con altri fornitori, allo scopo di documentare internamente la fornitura ed effettuare valutazioni in merito.</w:t>
            </w:r>
          </w:p>
        </w:tc>
      </w:tr>
      <w:tr w:rsidR="00066A68" w:rsidRPr="00C34AE6" w:rsidTr="008B0079">
        <w:tblPrEx>
          <w:tblBorders>
            <w:insideV w:val="single" w:sz="4" w:space="0" w:color="000000"/>
          </w:tblBorders>
        </w:tblPrEx>
        <w:trPr>
          <w:trHeight w:val="236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A68" w:rsidRPr="008B0079" w:rsidRDefault="00066A68" w:rsidP="00066A68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 w:rsidRPr="00936CC7">
              <w:rPr>
                <w:rFonts w:ascii="Avenir Roman" w:hAnsi="Avenir Roman"/>
                <w:b/>
                <w:sz w:val="18"/>
                <w:szCs w:val="18"/>
              </w:rPr>
              <w:t>Destinatari esterni e ambito di comunicazione dei dati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A68" w:rsidRPr="00CD2158" w:rsidRDefault="00066A68" w:rsidP="00066A68">
            <w:pPr>
              <w:pStyle w:val="Stiletabella2"/>
              <w:jc w:val="both"/>
              <w:rPr>
                <w:sz w:val="14"/>
                <w:szCs w:val="14"/>
              </w:rPr>
            </w:pPr>
            <w:r w:rsidRPr="00CD2158">
              <w:rPr>
                <w:sz w:val="14"/>
                <w:szCs w:val="14"/>
              </w:rPr>
              <w:t>I dati personali, essenziali per l’esecuzione del contratto, saranno comunicati a strutture esterne, quali commercialista e istituti bancari, in quanto il servizio da loro fornito è strettamente funzionale all’esecuzione del rapporto.</w:t>
            </w:r>
          </w:p>
        </w:tc>
      </w:tr>
      <w:tr w:rsidR="00066A68" w:rsidRPr="00C34AE6" w:rsidTr="00681370">
        <w:tblPrEx>
          <w:tblBorders>
            <w:insideV w:val="single" w:sz="4" w:space="0" w:color="000000"/>
          </w:tblBorders>
        </w:tblPrEx>
        <w:trPr>
          <w:trHeight w:val="18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A68" w:rsidRPr="008B0079" w:rsidRDefault="00066A68" w:rsidP="00066A68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 w:rsidRPr="008B0079">
              <w:rPr>
                <w:rFonts w:ascii="Avenir Roman" w:hAnsi="Avenir Roman"/>
                <w:b/>
                <w:sz w:val="18"/>
                <w:szCs w:val="18"/>
              </w:rPr>
              <w:t>Trasferimenti verso Paesi extra UE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A68" w:rsidRPr="008B0079" w:rsidRDefault="00066A68" w:rsidP="00066A68">
            <w:pPr>
              <w:pStyle w:val="Stiletabella2"/>
              <w:jc w:val="both"/>
              <w:rPr>
                <w:rFonts w:ascii="Avenir Roman" w:hAnsi="Avenir Roman"/>
                <w:sz w:val="14"/>
                <w:szCs w:val="14"/>
              </w:rPr>
            </w:pPr>
            <w:r w:rsidRPr="00CD2158">
              <w:rPr>
                <w:sz w:val="14"/>
                <w:szCs w:val="14"/>
              </w:rPr>
              <w:t>Non è previsto alcun trasferimento di dati al di fuori della Unione Europea.</w:t>
            </w:r>
          </w:p>
        </w:tc>
      </w:tr>
      <w:tr w:rsidR="00066A68" w:rsidTr="008B0079">
        <w:tblPrEx>
          <w:tblBorders>
            <w:insideV w:val="single" w:sz="4" w:space="0" w:color="000000"/>
          </w:tblBorders>
        </w:tblPrEx>
        <w:trPr>
          <w:trHeight w:val="18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A68" w:rsidRPr="008B0079" w:rsidRDefault="00066A68" w:rsidP="00066A68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 w:rsidRPr="008B0079">
              <w:rPr>
                <w:rFonts w:ascii="Avenir Roman" w:hAnsi="Avenir Roman"/>
                <w:b/>
                <w:sz w:val="18"/>
                <w:szCs w:val="18"/>
              </w:rPr>
              <w:t>Tempi di conservazione dati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2158" w:rsidRPr="008B0079" w:rsidRDefault="00CD2158" w:rsidP="00066A68">
            <w:pPr>
              <w:pStyle w:val="Stiletabella2"/>
              <w:jc w:val="both"/>
              <w:rPr>
                <w:rFonts w:ascii="Avenir Roman" w:hAnsi="Avenir Roman"/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>Decorsi i termini di legge che impongono una integrale conservazione dei dati, il Titolare potrà</w:t>
            </w:r>
            <w:r w:rsidR="008F3157" w:rsidRPr="008F3157">
              <w:rPr>
                <w:sz w:val="14"/>
                <w:szCs w:val="14"/>
              </w:rPr>
              <w:t xml:space="preserve"> </w:t>
            </w:r>
            <w:r w:rsidRPr="008F3157">
              <w:rPr>
                <w:sz w:val="14"/>
                <w:szCs w:val="14"/>
              </w:rPr>
              <w:t>procedere ad una definitiva eliminazione dei dati</w:t>
            </w:r>
          </w:p>
        </w:tc>
      </w:tr>
      <w:tr w:rsidR="00066A68" w:rsidRPr="00C34AE6" w:rsidTr="008B0079">
        <w:tblPrEx>
          <w:tblBorders>
            <w:insideV w:val="single" w:sz="4" w:space="0" w:color="000000"/>
          </w:tblBorders>
        </w:tblPrEx>
        <w:trPr>
          <w:trHeight w:val="1125"/>
        </w:trPr>
        <w:tc>
          <w:tcPr>
            <w:tcW w:w="31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A68" w:rsidRPr="008B0079" w:rsidRDefault="00066A68" w:rsidP="00066A68">
            <w:pPr>
              <w:pStyle w:val="Stiletabella1"/>
              <w:rPr>
                <w:rFonts w:ascii="Avenir Roman" w:hAnsi="Avenir Roman"/>
                <w:b/>
                <w:sz w:val="18"/>
                <w:szCs w:val="18"/>
              </w:rPr>
            </w:pPr>
            <w:r w:rsidRPr="00936CC7">
              <w:rPr>
                <w:rFonts w:ascii="Avenir Roman" w:hAnsi="Avenir Roman"/>
                <w:b/>
                <w:sz w:val="18"/>
                <w:szCs w:val="18"/>
              </w:rPr>
              <w:t>Diritti di accesso e reclamo</w:t>
            </w:r>
          </w:p>
        </w:tc>
        <w:tc>
          <w:tcPr>
            <w:tcW w:w="63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A68" w:rsidRPr="008F3157" w:rsidRDefault="00066A68" w:rsidP="00066A68">
            <w:pPr>
              <w:pStyle w:val="Stiletabella2"/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 xml:space="preserve">Scrivendo </w:t>
            </w:r>
            <w:r w:rsidRPr="009802B7">
              <w:rPr>
                <w:sz w:val="14"/>
                <w:szCs w:val="14"/>
              </w:rPr>
              <w:t xml:space="preserve">a </w:t>
            </w:r>
            <w:r w:rsidR="009802B7" w:rsidRPr="009802B7">
              <w:rPr>
                <w:sz w:val="14"/>
                <w:szCs w:val="14"/>
              </w:rPr>
              <w:t>info</w:t>
            </w:r>
            <w:r w:rsidRPr="009802B7">
              <w:rPr>
                <w:sz w:val="14"/>
                <w:szCs w:val="14"/>
              </w:rPr>
              <w:t>@</w:t>
            </w:r>
            <w:r w:rsidR="009802B7" w:rsidRPr="009802B7">
              <w:rPr>
                <w:sz w:val="14"/>
                <w:szCs w:val="14"/>
              </w:rPr>
              <w:t>nuovostyle.it</w:t>
            </w:r>
            <w:r w:rsidRPr="009802B7">
              <w:rPr>
                <w:sz w:val="14"/>
                <w:szCs w:val="14"/>
              </w:rPr>
              <w:t xml:space="preserve"> le è</w:t>
            </w:r>
            <w:r w:rsidRPr="008F3157">
              <w:rPr>
                <w:sz w:val="14"/>
                <w:szCs w:val="14"/>
              </w:rPr>
              <w:t xml:space="preserve"> garantito il diritto di:</w:t>
            </w:r>
          </w:p>
          <w:p w:rsidR="00066A68" w:rsidRPr="008F3157" w:rsidRDefault="00066A68" w:rsidP="00066A68">
            <w:pPr>
              <w:pStyle w:val="Stiletabella2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>chiedere nuovamente le informazioni contenute in questo documento;</w:t>
            </w:r>
          </w:p>
          <w:p w:rsidR="00066A68" w:rsidRPr="008F3157" w:rsidRDefault="00066A68" w:rsidP="00066A68">
            <w:pPr>
              <w:pStyle w:val="Stiletabella2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>chiedere l’esistenza e l’accesso ai dati che la riguardano;</w:t>
            </w:r>
          </w:p>
          <w:p w:rsidR="00066A68" w:rsidRPr="008F3157" w:rsidRDefault="00066A68" w:rsidP="00066A68">
            <w:pPr>
              <w:pStyle w:val="Stiletabella2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>chiedere l’aggiornamento e l’integrazione dei dati forniti;</w:t>
            </w:r>
          </w:p>
          <w:p w:rsidR="00066A68" w:rsidRPr="008F3157" w:rsidRDefault="00066A68" w:rsidP="00066A68">
            <w:pPr>
              <w:pStyle w:val="Stiletabella2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 xml:space="preserve">chiedere la cancellazione dei dati personali, salva l’esistenza di un diritto del </w:t>
            </w:r>
            <w:r w:rsidR="008F3157">
              <w:rPr>
                <w:sz w:val="14"/>
                <w:szCs w:val="14"/>
              </w:rPr>
              <w:t>Titolare</w:t>
            </w:r>
            <w:r w:rsidRPr="008F3157">
              <w:rPr>
                <w:sz w:val="14"/>
                <w:szCs w:val="14"/>
              </w:rPr>
              <w:t xml:space="preserve"> alla conservazione degli stessi;</w:t>
            </w:r>
          </w:p>
          <w:p w:rsidR="00066A68" w:rsidRPr="008F3157" w:rsidRDefault="00066A68" w:rsidP="00066A68">
            <w:pPr>
              <w:pStyle w:val="Stiletabella2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 xml:space="preserve">chiedere la comunicazione dei dati personali conservati dal </w:t>
            </w:r>
            <w:r w:rsidR="008F3157">
              <w:rPr>
                <w:sz w:val="14"/>
                <w:szCs w:val="14"/>
              </w:rPr>
              <w:t>Titolare</w:t>
            </w:r>
            <w:r w:rsidRPr="008F3157">
              <w:rPr>
                <w:sz w:val="14"/>
                <w:szCs w:val="14"/>
              </w:rPr>
              <w:t xml:space="preserve"> o la consegna di una loro copia;</w:t>
            </w:r>
          </w:p>
          <w:p w:rsidR="00066A68" w:rsidRPr="008F3157" w:rsidRDefault="00066A68" w:rsidP="00066A68">
            <w:pPr>
              <w:pStyle w:val="Stiletabella2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 xml:space="preserve">opporsi ad operazioni di trattamento che ritenga non siano legittime o chiedere limitazioni di trattamento </w:t>
            </w:r>
          </w:p>
          <w:p w:rsidR="00066A68" w:rsidRPr="008F3157" w:rsidRDefault="00066A68" w:rsidP="00066A68">
            <w:pPr>
              <w:pStyle w:val="Stiletabella2"/>
              <w:jc w:val="both"/>
              <w:rPr>
                <w:sz w:val="14"/>
                <w:szCs w:val="14"/>
              </w:rPr>
            </w:pPr>
            <w:r w:rsidRPr="008F3157">
              <w:rPr>
                <w:sz w:val="14"/>
                <w:szCs w:val="14"/>
              </w:rPr>
              <w:t xml:space="preserve">Per l’esercizio dei suddetti diritti il </w:t>
            </w:r>
            <w:r w:rsidR="008F3157">
              <w:rPr>
                <w:sz w:val="14"/>
                <w:szCs w:val="14"/>
              </w:rPr>
              <w:t>Titolare</w:t>
            </w:r>
            <w:r w:rsidRPr="008F3157">
              <w:rPr>
                <w:sz w:val="14"/>
                <w:szCs w:val="14"/>
              </w:rPr>
              <w:t xml:space="preserve"> potrà valutare la legittimità della sua richiesta anche verificando la sua identità.</w:t>
            </w:r>
          </w:p>
          <w:p w:rsidR="00066A68" w:rsidRPr="00CB4978" w:rsidRDefault="00066A68" w:rsidP="00066A68">
            <w:pPr>
              <w:pStyle w:val="NormaleWeb"/>
              <w:jc w:val="both"/>
              <w:rPr>
                <w:rFonts w:ascii="ArialUnicodeMS" w:eastAsia="ArialUnicodeMS" w:hAnsi="ArialUnicodeMS" w:cs="ArialUnicodeMS"/>
                <w:position w:val="-2"/>
                <w:sz w:val="16"/>
                <w:szCs w:val="16"/>
              </w:rPr>
            </w:pPr>
            <w:r w:rsidRPr="008F3157">
              <w:rPr>
                <w:rFonts w:ascii="Avenir Book" w:eastAsia="Arial Unicode MS" w:hAnsi="Avenir Book" w:cs="Arial Unicode MS"/>
                <w:color w:val="000000"/>
                <w:sz w:val="14"/>
                <w:szCs w:val="14"/>
                <w:bdr w:val="nil"/>
              </w:rPr>
              <w:t xml:space="preserve">Potrà agire qualora ritenga che il trattamento abbia violato un suo diritto, presentando obiezioni nei confronti del </w:t>
            </w:r>
            <w:r w:rsidR="00594BDD" w:rsidRPr="00594BDD">
              <w:rPr>
                <w:rFonts w:ascii="Avenir Book" w:eastAsia="Arial Unicode MS" w:hAnsi="Avenir Book" w:cs="Arial Unicode MS"/>
                <w:color w:val="000000"/>
                <w:sz w:val="14"/>
                <w:szCs w:val="14"/>
                <w:bdr w:val="nil"/>
              </w:rPr>
              <w:t>titolare</w:t>
            </w:r>
            <w:r w:rsidRPr="008F3157">
              <w:rPr>
                <w:rFonts w:ascii="Avenir Book" w:eastAsia="Arial Unicode MS" w:hAnsi="Avenir Book" w:cs="Arial Unicode MS"/>
                <w:color w:val="000000"/>
                <w:sz w:val="14"/>
                <w:szCs w:val="14"/>
                <w:bdr w:val="nil"/>
              </w:rPr>
              <w:t>, utilizzando l’indirizzo sopra indicato e anche presentando reclamo presso l’Autorità Garante.</w:t>
            </w:r>
          </w:p>
        </w:tc>
      </w:tr>
    </w:tbl>
    <w:p w:rsidR="00333696" w:rsidRDefault="00A803CA">
      <w:pPr>
        <w:pStyle w:val="Corpo"/>
      </w:pPr>
      <w:r>
        <w:t xml:space="preserve"> </w:t>
      </w:r>
    </w:p>
    <w:p w:rsidR="00A803CA" w:rsidRDefault="00A803CA" w:rsidP="008B0079">
      <w:pPr>
        <w:rPr>
          <w:rFonts w:ascii="Avenir Book" w:eastAsia="Avenir Book" w:hAnsi="Avenir Book" w:cs="Avenir Book"/>
          <w:color w:val="000000"/>
          <w:sz w:val="22"/>
          <w:szCs w:val="22"/>
          <w:u w:val="single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B0079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p w:rsidR="008B0079" w:rsidRPr="008B0079" w:rsidRDefault="008B0079" w:rsidP="008F3157">
      <w:pPr>
        <w:rPr>
          <w:rFonts w:ascii="Avenir Book" w:eastAsia="Avenir Book" w:hAnsi="Avenir Book" w:cs="Avenir Book"/>
          <w:sz w:val="22"/>
          <w:szCs w:val="22"/>
          <w:lang w:val="it-IT" w:eastAsia="it-IT"/>
        </w:rPr>
      </w:pPr>
    </w:p>
    <w:sectPr w:rsidR="008B0079" w:rsidRPr="008B0079" w:rsidSect="008B0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BA6" w:rsidRDefault="00583BA6">
      <w:r>
        <w:separator/>
      </w:r>
    </w:p>
  </w:endnote>
  <w:endnote w:type="continuationSeparator" w:id="0">
    <w:p w:rsidR="00583BA6" w:rsidRDefault="0058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rialUnicode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2B7" w:rsidRDefault="009802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079" w:rsidRPr="006208B5" w:rsidRDefault="008B0079" w:rsidP="008B0079">
    <w:pPr>
      <w:pStyle w:val="Stiletabella2"/>
      <w:tabs>
        <w:tab w:val="center" w:pos="4820"/>
        <w:tab w:val="right" w:pos="9639"/>
      </w:tabs>
      <w:rPr>
        <w:sz w:val="16"/>
        <w:szCs w:val="16"/>
      </w:rPr>
    </w:pPr>
    <w:r w:rsidRPr="00267F37">
      <w:rPr>
        <w:sz w:val="16"/>
        <w:szCs w:val="16"/>
      </w:rPr>
      <w:t xml:space="preserve">Pag. </w:t>
    </w:r>
    <w:r w:rsidRPr="00267F37">
      <w:rPr>
        <w:sz w:val="16"/>
        <w:szCs w:val="16"/>
      </w:rPr>
      <w:fldChar w:fldCharType="begin"/>
    </w:r>
    <w:r w:rsidRPr="00267F37">
      <w:rPr>
        <w:sz w:val="16"/>
        <w:szCs w:val="16"/>
      </w:rPr>
      <w:instrText>PAGE  \* Arabic  \* MERGEFORMAT</w:instrText>
    </w:r>
    <w:r w:rsidRPr="00267F37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267F37">
      <w:rPr>
        <w:sz w:val="16"/>
        <w:szCs w:val="16"/>
      </w:rPr>
      <w:fldChar w:fldCharType="end"/>
    </w:r>
    <w:r w:rsidRPr="00267F37">
      <w:rPr>
        <w:sz w:val="16"/>
        <w:szCs w:val="16"/>
      </w:rPr>
      <w:t xml:space="preserve"> di </w:t>
    </w:r>
    <w:r w:rsidRPr="00267F37">
      <w:rPr>
        <w:sz w:val="16"/>
        <w:szCs w:val="16"/>
      </w:rPr>
      <w:fldChar w:fldCharType="begin"/>
    </w:r>
    <w:r w:rsidRPr="00267F37">
      <w:rPr>
        <w:sz w:val="16"/>
        <w:szCs w:val="16"/>
      </w:rPr>
      <w:instrText>NUMPAGES  \* Arabic  \* MERGEFORMAT</w:instrText>
    </w:r>
    <w:r w:rsidRPr="00267F37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267F37">
      <w:rPr>
        <w:sz w:val="16"/>
        <w:szCs w:val="16"/>
      </w:rPr>
      <w:fldChar w:fldCharType="end"/>
    </w:r>
    <w:r w:rsidRPr="00267F37"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informativa fornitori </w:t>
    </w:r>
    <w:r>
      <w:rPr>
        <w:sz w:val="16"/>
        <w:szCs w:val="16"/>
      </w:rPr>
      <w:tab/>
    </w:r>
    <w:r w:rsidRPr="009B687A">
      <w:rPr>
        <w:sz w:val="16"/>
        <w:szCs w:val="16"/>
      </w:rPr>
      <w:t>Rev</w:t>
    </w:r>
    <w:r>
      <w:rPr>
        <w:sz w:val="16"/>
        <w:szCs w:val="16"/>
      </w:rPr>
      <w:t>.</w:t>
    </w:r>
    <w:r w:rsidRPr="009B687A">
      <w:rPr>
        <w:sz w:val="16"/>
        <w:szCs w:val="16"/>
      </w:rPr>
      <w:t xml:space="preserve"> </w:t>
    </w:r>
    <w:r>
      <w:rPr>
        <w:sz w:val="16"/>
        <w:szCs w:val="16"/>
      </w:rPr>
      <w:t>1</w:t>
    </w:r>
    <w:r w:rsidR="009802B7">
      <w:rPr>
        <w:sz w:val="16"/>
        <w:szCs w:val="16"/>
      </w:rPr>
      <w:t>4</w:t>
    </w:r>
    <w:r>
      <w:rPr>
        <w:sz w:val="16"/>
        <w:szCs w:val="16"/>
      </w:rPr>
      <w:t>.</w:t>
    </w:r>
    <w:r w:rsidR="009802B7">
      <w:rPr>
        <w:sz w:val="16"/>
        <w:szCs w:val="16"/>
      </w:rPr>
      <w:t>05</w:t>
    </w:r>
    <w:r w:rsidRPr="009B687A">
      <w:rPr>
        <w:sz w:val="16"/>
        <w:szCs w:val="16"/>
      </w:rPr>
      <w:t>.201</w:t>
    </w:r>
    <w:r w:rsidR="009802B7">
      <w:rPr>
        <w:sz w:val="16"/>
        <w:szCs w:val="16"/>
      </w:rPr>
      <w:t>9</w:t>
    </w:r>
    <w:bookmarkStart w:id="0" w:name="_GoBack"/>
    <w:bookmarkEnd w:id="0"/>
  </w:p>
  <w:p w:rsidR="00333696" w:rsidRDefault="00333696">
    <w:pPr>
      <w:pStyle w:val="Intestazioneepidipagina"/>
      <w:tabs>
        <w:tab w:val="clear" w:pos="9020"/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2B7" w:rsidRDefault="009802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BA6" w:rsidRDefault="00583BA6">
      <w:r>
        <w:separator/>
      </w:r>
    </w:p>
  </w:footnote>
  <w:footnote w:type="continuationSeparator" w:id="0">
    <w:p w:rsidR="00583BA6" w:rsidRDefault="0058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2B7" w:rsidRDefault="009802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696" w:rsidRDefault="00333696">
    <w:pPr>
      <w:pStyle w:val="Intestazioneepidipagina"/>
      <w:tabs>
        <w:tab w:val="clear" w:pos="9020"/>
        <w:tab w:val="center" w:pos="4819"/>
        <w:tab w:val="right" w:pos="9638"/>
      </w:tabs>
    </w:pPr>
  </w:p>
  <w:p w:rsidR="00333696" w:rsidRDefault="00333696">
    <w:pPr>
      <w:pStyle w:val="Intestazioneepidipagina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2B7" w:rsidRDefault="009802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289C"/>
    <w:multiLevelType w:val="hybridMultilevel"/>
    <w:tmpl w:val="6BBECE20"/>
    <w:lvl w:ilvl="0" w:tplc="48844A42">
      <w:start w:val="1"/>
      <w:numFmt w:val="bullet"/>
      <w:lvlText w:val="•"/>
      <w:lvlJc w:val="left"/>
      <w:pPr>
        <w:ind w:left="170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72E3EE2">
      <w:start w:val="1"/>
      <w:numFmt w:val="bullet"/>
      <w:lvlText w:val="✴"/>
      <w:lvlJc w:val="left"/>
      <w:pPr>
        <w:ind w:left="31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30E6A2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2001EA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FE0747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97E270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4F48258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5C5E3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96ED3A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FBB74B7"/>
    <w:multiLevelType w:val="multilevel"/>
    <w:tmpl w:val="A364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96"/>
    <w:rsid w:val="00006E37"/>
    <w:rsid w:val="00066A68"/>
    <w:rsid w:val="00073CAE"/>
    <w:rsid w:val="00080C68"/>
    <w:rsid w:val="000852EC"/>
    <w:rsid w:val="00096264"/>
    <w:rsid w:val="00143EF6"/>
    <w:rsid w:val="001C3ABB"/>
    <w:rsid w:val="003025EB"/>
    <w:rsid w:val="00333696"/>
    <w:rsid w:val="00384641"/>
    <w:rsid w:val="00400F19"/>
    <w:rsid w:val="004541E1"/>
    <w:rsid w:val="00460B47"/>
    <w:rsid w:val="00476224"/>
    <w:rsid w:val="004A1385"/>
    <w:rsid w:val="00511873"/>
    <w:rsid w:val="00583BA6"/>
    <w:rsid w:val="00594BDD"/>
    <w:rsid w:val="00636A05"/>
    <w:rsid w:val="00645FE8"/>
    <w:rsid w:val="00681370"/>
    <w:rsid w:val="006C51F5"/>
    <w:rsid w:val="006F7BCD"/>
    <w:rsid w:val="007A00D9"/>
    <w:rsid w:val="007D549C"/>
    <w:rsid w:val="00816C88"/>
    <w:rsid w:val="00827436"/>
    <w:rsid w:val="00831170"/>
    <w:rsid w:val="00841BA3"/>
    <w:rsid w:val="00847886"/>
    <w:rsid w:val="008824C7"/>
    <w:rsid w:val="008B0079"/>
    <w:rsid w:val="008D5F3E"/>
    <w:rsid w:val="008F3157"/>
    <w:rsid w:val="00910369"/>
    <w:rsid w:val="009802B7"/>
    <w:rsid w:val="00997767"/>
    <w:rsid w:val="00A05D96"/>
    <w:rsid w:val="00A26482"/>
    <w:rsid w:val="00A5457C"/>
    <w:rsid w:val="00A63375"/>
    <w:rsid w:val="00A803CA"/>
    <w:rsid w:val="00B22A83"/>
    <w:rsid w:val="00B2428F"/>
    <w:rsid w:val="00BE29AE"/>
    <w:rsid w:val="00C16B52"/>
    <w:rsid w:val="00C34AE6"/>
    <w:rsid w:val="00C7272E"/>
    <w:rsid w:val="00CB4978"/>
    <w:rsid w:val="00CD2158"/>
    <w:rsid w:val="00CF0DBD"/>
    <w:rsid w:val="00D2651A"/>
    <w:rsid w:val="00D27247"/>
    <w:rsid w:val="00D9734F"/>
    <w:rsid w:val="00E05E44"/>
    <w:rsid w:val="00E12C0F"/>
    <w:rsid w:val="00E30A5D"/>
    <w:rsid w:val="00E66C71"/>
    <w:rsid w:val="00EA2A36"/>
    <w:rsid w:val="00F46157"/>
    <w:rsid w:val="00F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75D2"/>
  <w15:docId w15:val="{6171AEAD-A322-F44D-B641-8A47B3D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Avenir Book" w:hAnsi="Avenir Book" w:cs="Arial Unicode MS"/>
      <w:color w:val="000000"/>
      <w:sz w:val="18"/>
      <w:szCs w:val="18"/>
    </w:rPr>
  </w:style>
  <w:style w:type="paragraph" w:customStyle="1" w:styleId="Corpo">
    <w:name w:val="Corpo"/>
    <w:pPr>
      <w:jc w:val="both"/>
    </w:pPr>
    <w:rPr>
      <w:rFonts w:ascii="Avenir Book" w:eastAsia="Avenir Book" w:hAnsi="Avenir Book" w:cs="Avenir Book"/>
      <w:color w:val="000000"/>
      <w:sz w:val="22"/>
      <w:szCs w:val="22"/>
    </w:rPr>
  </w:style>
  <w:style w:type="paragraph" w:styleId="Intestazione">
    <w:name w:val="header"/>
    <w:next w:val="Corpo"/>
    <w:pPr>
      <w:keepNext/>
      <w:spacing w:before="320" w:after="280"/>
      <w:outlineLvl w:val="0"/>
    </w:pPr>
    <w:rPr>
      <w:rFonts w:ascii="Avenir Heavy" w:hAnsi="Avenir Heavy" w:cs="Arial Unicode MS"/>
      <w:color w:val="000000"/>
      <w:sz w:val="22"/>
      <w:szCs w:val="22"/>
    </w:rPr>
  </w:style>
  <w:style w:type="paragraph" w:customStyle="1" w:styleId="Intestazione2">
    <w:name w:val="Intestazione 2"/>
    <w:next w:val="Corpo"/>
    <w:pPr>
      <w:keepNext/>
      <w:spacing w:before="240" w:after="180"/>
      <w:outlineLvl w:val="1"/>
    </w:pPr>
    <w:rPr>
      <w:rFonts w:ascii="Avenir Book" w:hAnsi="Avenir Book" w:cs="Arial Unicode MS"/>
      <w:color w:val="000000"/>
      <w:sz w:val="22"/>
      <w:szCs w:val="22"/>
      <w:u w:val="single"/>
    </w:rPr>
  </w:style>
  <w:style w:type="paragraph" w:customStyle="1" w:styleId="Stiletabella1">
    <w:name w:val="Stile tabella 1"/>
    <w:rPr>
      <w:rFonts w:ascii="Avenir Heavy" w:eastAsia="Avenir Heavy" w:hAnsi="Avenir Heavy" w:cs="Avenir Heavy"/>
      <w:color w:val="000000"/>
    </w:rPr>
  </w:style>
  <w:style w:type="paragraph" w:customStyle="1" w:styleId="Stiletabella2">
    <w:name w:val="Stile tabella 2"/>
    <w:uiPriority w:val="99"/>
    <w:rPr>
      <w:rFonts w:ascii="Avenir Book" w:hAnsi="Avenir Book" w:cs="Arial Unicode MS"/>
      <w:color w:val="000000"/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118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873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4541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Book"/>
            <a:ea typeface="Avenir Book"/>
            <a:cs typeface="Avenir Book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A56429F7D2E4489526A2E47E8A1EE" ma:contentTypeVersion="6" ma:contentTypeDescription="Creare un nuovo documento." ma:contentTypeScope="" ma:versionID="7725a0236ed2f97d85706c90b75a1067">
  <xsd:schema xmlns:xsd="http://www.w3.org/2001/XMLSchema" xmlns:xs="http://www.w3.org/2001/XMLSchema" xmlns:p="http://schemas.microsoft.com/office/2006/metadata/properties" xmlns:ns2="271224e9-3dec-4cb4-a29e-de328e097d5a" xmlns:ns3="c5b5dcc9-7c02-407b-9230-4e9d8cf1a4d1" targetNamespace="http://schemas.microsoft.com/office/2006/metadata/properties" ma:root="true" ma:fieldsID="7040e727e4f8da0976f7ae0f085f03a8" ns2:_="" ns3:_="">
    <xsd:import namespace="271224e9-3dec-4cb4-a29e-de328e097d5a"/>
    <xsd:import namespace="c5b5dcc9-7c02-407b-9230-4e9d8cf1a4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24e9-3dec-4cb4-a29e-de328e09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dcc9-7c02-407b-9230-4e9d8cf1a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1224e9-3dec-4cb4-a29e-de328e097d5a">3YVSJ2ZCPP77-22054931-17115</_dlc_DocId>
    <_dlc_DocIdUrl xmlns="271224e9-3dec-4cb4-a29e-de328e097d5a">
      <Url>https://lasaconsultingsnc.sharepoint.com/sites/lasa/_layouts/15/DocIdRedir.aspx?ID=3YVSJ2ZCPP77-22054931-17115</Url>
      <Description>3YVSJ2ZCPP77-22054931-17115</Description>
    </_dlc_DocIdUrl>
  </documentManagement>
</p:properties>
</file>

<file path=customXml/itemProps1.xml><?xml version="1.0" encoding="utf-8"?>
<ds:datastoreItem xmlns:ds="http://schemas.openxmlformats.org/officeDocument/2006/customXml" ds:itemID="{CAE4B327-0F7E-4980-B633-7F8A5E812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4B589-14CC-4D5A-B7FF-C853BC02D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3DAC61-5C05-4444-8920-FC5D22F8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224e9-3dec-4cb4-a29e-de328e097d5a"/>
    <ds:schemaRef ds:uri="c5b5dcc9-7c02-407b-9230-4e9d8cf1a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E43B3-FDAB-4565-87AF-BBD59535B84E}">
  <ds:schemaRefs>
    <ds:schemaRef ds:uri="http://schemas.microsoft.com/office/2006/metadata/properties"/>
    <ds:schemaRef ds:uri="http://schemas.microsoft.com/office/infopath/2007/PartnerControls"/>
    <ds:schemaRef ds:uri="271224e9-3dec-4cb4-a29e-de328e09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Pagliarulo - LASA Consulting</cp:lastModifiedBy>
  <cp:revision>14</cp:revision>
  <dcterms:created xsi:type="dcterms:W3CDTF">2018-12-17T07:54:00Z</dcterms:created>
  <dcterms:modified xsi:type="dcterms:W3CDTF">2019-04-02T14:51:00Z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0x0101007CBA56429F7D2E4489526A2E47E8A1EE</vt:lpwstr>
  </property>
  <property fmtid="{D5CDD505-2E9C-101B-9397-08002B2CF9AE}" pid="3" name="_dlc_DocIdItemGuid">
    <vt:lpwstr>c4974282-9d90-4faf-939c-4b9bfe52bc70</vt:lpwstr>
  </property>
</Properties>
</file>